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40" w:lineRule="auto"/>
      </w:pPr>
      <w:r>
        <w:rPr>
          <w:rFonts w:ascii="Arial" w:hAnsi="Arial"/>
          <w:b/>
          <w:i w:val="0"/>
          <w:color w:val="0E7C7B"/>
          <w:sz w:val="16"/>
        </w:rPr>
        <w:t>FOR REFEREES, CAREERS LEADS AND HEADS OF SIXTH FORM</w:t>
      </w:r>
    </w:p>
    <w:p>
      <w:pPr>
        <w:spacing w:before="0" w:after="40" w:line="252" w:lineRule="auto"/>
      </w:pPr>
      <w:r>
        <w:rPr>
          <w:rFonts w:ascii="Georgia" w:hAnsi="Georgia"/>
          <w:b/>
          <w:i w:val="0"/>
          <w:color w:val="0B1F3A"/>
          <w:sz w:val="48"/>
        </w:rPr>
        <w:t>UCAS reference template</w:t>
      </w:r>
    </w:p>
    <w:p>
      <w:pPr>
        <w:spacing w:before="0" w:after="200" w:line="264" w:lineRule="auto"/>
      </w:pPr>
      <w:r>
        <w:rPr>
          <w:rFonts w:ascii="Georgia" w:hAnsi="Georgia"/>
          <w:b w:val="0"/>
          <w:i w:val="0"/>
          <w:color w:val="0E7C7B"/>
          <w:sz w:val="26"/>
        </w:rPr>
        <w:t>Medicine, dentistry and veterinary medicine</w:t>
      </w:r>
    </w:p>
    <w:p>
      <w:pPr>
        <w:spacing w:before="0" w:after="120" w:line="300" w:lineRule="auto"/>
      </w:pPr>
      <w:r>
        <w:rPr>
          <w:rFonts w:ascii="Arial" w:hAnsi="Arial"/>
          <w:b w:val="0"/>
          <w:i w:val="0"/>
          <w:color w:val="3F4050"/>
          <w:sz w:val="21"/>
        </w:rPr>
        <w:t>The reference is the one part of the application that only you can write. UCAS uses a structured reference in three sections: a general statement about your centre, any extenuating circumstances that affected this applicant's education, and anything else universities should know. For medicine, dentistry and veterinary medicine, the third section does the work.</w:t>
      </w:r>
    </w:p>
    <w:p>
      <w:pPr>
        <w:spacing w:before="0" w:after="160" w:line="300" w:lineRule="auto"/>
      </w:pPr>
      <w:r>
        <w:rPr>
          <w:rFonts w:ascii="Arial" w:hAnsi="Arial"/>
          <w:b w:val="0"/>
          <w:i w:val="0"/>
          <w:color w:val="3F4050"/>
          <w:sz w:val="21"/>
        </w:rPr>
        <w:t>Write your answers in the boxes. The grey italic lines are starting shapes, not sentences to submit: replace every bracket, and delete any line you cannot evidence. A reference assembled from unedited templates is recognisable and does the student no favours.</w:t>
      </w:r>
    </w:p>
    <w:p>
      <w:pPr>
        <w:spacing w:after="80"/>
      </w:pPr>
      <w:r>
        <w:rPr>
          <w:rFonts w:ascii="Arial" w:hAnsi="Arial"/>
          <w:color w:val="3F4050"/>
          <w:sz w:val="19"/>
        </w:rPr>
        <w:t xml:space="preserve">Before you start, confirm the current section wording, the order of the sections and the overall character limit in the UCAS adviser portal. Those are the details most likely to be adjusted between cycles, so work from the live figure rather than a remembered one: </w:t>
      </w:r>
      <w:hyperlink r:id="rId11">
        <w:r>
          <w:rPr>
            <w:color w:val="0E7C7B"/>
            <w:u w:val="single"/>
            <w:rFonts w:ascii="Arial" w:hAnsi="Arial"/>
            <w:sz w:val="19"/>
          </w:rPr>
          <w:t xml:space="preserve">UCAS adviser guidance on references</w:t>
        </w:r>
      </w:hyperlink>
      <w:r>
        <w:rPr>
          <w:rFonts w:ascii="Arial" w:hAnsi="Arial"/>
          <w:color w:val="3F4050"/>
          <w:sz w:val="19"/>
        </w:rPr>
        <w:t>.</w:t>
      </w:r>
    </w:p>
    <w:p>
      <w:pPr>
        <w:spacing w:before="320" w:after="40" w:line="240" w:lineRule="auto"/>
      </w:pPr>
      <w:r>
        <w:rPr>
          <w:rFonts w:ascii="Arial" w:hAnsi="Arial"/>
          <w:b/>
          <w:i w:val="0"/>
          <w:color w:val="0E7C7B"/>
          <w:sz w:val="16"/>
        </w:rPr>
        <w:t>THIS REFERENCE IS FOR</w:t>
      </w:r>
    </w:p>
    <w:tbl>
      <w:tblPr>
        <w:tblW w:type="auto" w:w="0"/>
        <w:jc w:val="center"/>
        <w:tblLook w:firstColumn="1" w:firstRow="1" w:lastColumn="0" w:lastRow="0" w:noHBand="0" w:noVBand="1" w:val="04A0"/>
      </w:tblPr>
      <w:tblGrid>
        <w:gridCol w:w="3286"/>
        <w:gridCol w:w="3286"/>
        <w:gridCol w:w="3286"/>
      </w:tblGrid>
      <w:tr>
        <w:tc>
          <w:tcPr>
            <w:tcW w:type="dxa" w:w="3286"/>
            <w:shd w:val="clear" w:color="auto" w:fill="FAF8F4"/>
            <w:tcBorders>
              <w:top w:val="single" w:sz="6" w:color="D9E1EA"/>
              <w:left w:val="single" w:sz="6" w:color="D9E1EA"/>
              <w:bottom w:val="single" w:sz="6" w:color="D9E1EA"/>
              <w:right w:val="single" w:sz="6" w:color="D9E1EA"/>
            </w:tcBorders>
          </w:tcPr>
          <w:p>
            <w:pPr>
              <w:spacing w:after="0"/>
            </w:pPr>
            <w:r>
              <w:rPr>
                <w:rFonts w:ascii="Arial" w:hAnsi="Arial"/>
                <w:b/>
                <w:color w:val="0B1F3A"/>
                <w:sz w:val="16"/>
              </w:rPr>
              <w:t>Applicant name</w:t>
            </w:r>
          </w:p>
        </w:tc>
        <w:tc>
          <w:tcPr>
            <w:tcW w:type="dxa" w:w="3286"/>
            <w:shd w:val="clear" w:color="auto" w:fill="FAF8F4"/>
            <w:tcBorders>
              <w:top w:val="single" w:sz="6" w:color="D9E1EA"/>
              <w:left w:val="single" w:sz="6" w:color="D9E1EA"/>
              <w:bottom w:val="single" w:sz="6" w:color="D9E1EA"/>
              <w:right w:val="single" w:sz="6" w:color="D9E1EA"/>
            </w:tcBorders>
          </w:tcPr>
          <w:p>
            <w:pPr>
              <w:spacing w:after="0"/>
            </w:pPr>
            <w:r>
              <w:rPr>
                <w:rFonts w:ascii="Arial" w:hAnsi="Arial"/>
                <w:b/>
                <w:color w:val="0B1F3A"/>
                <w:sz w:val="16"/>
              </w:rPr>
              <w:t>Course applied for</w:t>
            </w:r>
          </w:p>
        </w:tc>
        <w:tc>
          <w:tcPr>
            <w:tcW w:type="dxa" w:w="3286"/>
            <w:shd w:val="clear" w:color="auto" w:fill="FAF8F4"/>
            <w:tcBorders>
              <w:top w:val="single" w:sz="6" w:color="D9E1EA"/>
              <w:left w:val="single" w:sz="6" w:color="D9E1EA"/>
              <w:bottom w:val="single" w:sz="6" w:color="D9E1EA"/>
              <w:right w:val="single" w:sz="6" w:color="D9E1EA"/>
            </w:tcBorders>
          </w:tcPr>
          <w:p>
            <w:pPr>
              <w:spacing w:after="0"/>
            </w:pPr>
            <w:r>
              <w:rPr>
                <w:rFonts w:ascii="Arial" w:hAnsi="Arial"/>
                <w:b/>
                <w:color w:val="0B1F3A"/>
                <w:sz w:val="16"/>
              </w:rPr>
              <w:t>Referee and role</w:t>
            </w:r>
          </w:p>
        </w:tc>
      </w:tr>
      <w:tr>
        <w:tc>
          <w:tcPr>
            <w:tcW w:type="dxa" w:w="3286"/>
            <w:tcBorders>
              <w:top w:val="single" w:sz="6" w:color="D9E1EA"/>
              <w:left w:val="single" w:sz="6" w:color="D9E1EA"/>
              <w:bottom w:val="single" w:sz="6" w:color="D9E1EA"/>
              <w:right w:val="single" w:sz="6" w:color="D9E1EA"/>
            </w:tcBorders>
          </w:tcPr>
          <w:p>
            <w:pPr>
              <w:spacing w:after="0" w:line="384" w:lineRule="auto"/>
            </w:pPr>
          </w:p>
        </w:tc>
        <w:tc>
          <w:tcPr>
            <w:tcW w:type="dxa" w:w="3286"/>
            <w:tcBorders>
              <w:top w:val="single" w:sz="6" w:color="D9E1EA"/>
              <w:left w:val="single" w:sz="6" w:color="D9E1EA"/>
              <w:bottom w:val="single" w:sz="6" w:color="D9E1EA"/>
              <w:right w:val="single" w:sz="6" w:color="D9E1EA"/>
            </w:tcBorders>
          </w:tcPr>
          <w:p>
            <w:pPr>
              <w:spacing w:after="0" w:line="384" w:lineRule="auto"/>
            </w:pPr>
            <w:r>
              <w:rPr>
                <w:rFonts w:ascii="Arial" w:hAnsi="Arial"/>
                <w:i/>
                <w:color w:val="808690"/>
                <w:sz w:val="18"/>
              </w:rPr>
              <w:t>Medicine / Dentistry / Veterinary</w:t>
            </w:r>
          </w:p>
        </w:tc>
        <w:tc>
          <w:tcPr>
            <w:tcW w:type="dxa" w:w="3286"/>
            <w:tcBorders>
              <w:top w:val="single" w:sz="6" w:color="D9E1EA"/>
              <w:left w:val="single" w:sz="6" w:color="D9E1EA"/>
              <w:bottom w:val="single" w:sz="6" w:color="D9E1EA"/>
              <w:right w:val="single" w:sz="6" w:color="D9E1EA"/>
            </w:tcBorders>
          </w:tcPr>
          <w:p>
            <w:pPr>
              <w:spacing w:after="0" w:line="384" w:lineRule="auto"/>
            </w:pPr>
          </w:p>
        </w:tc>
      </w:tr>
    </w:tbl>
    <w:p>
      <w:pPr>
        <w:spacing w:after="120"/>
      </w:pPr>
    </w:p>
    <w:p>
      <w:pPr>
        <w:spacing w:before="320" w:after="40" w:line="240" w:lineRule="auto"/>
      </w:pPr>
      <w:r>
        <w:rPr>
          <w:rFonts w:ascii="Arial" w:hAnsi="Arial"/>
          <w:b/>
          <w:i w:val="0"/>
          <w:color w:val="0E7C7B"/>
          <w:sz w:val="16"/>
        </w:rPr>
        <w:t>THE READER</w:t>
      </w:r>
    </w:p>
    <w:p>
      <w:pPr>
        <w:spacing w:before="0" w:after="120" w:line="264" w:lineRule="auto"/>
      </w:pPr>
      <w:r>
        <w:rPr>
          <w:rFonts w:ascii="Georgia" w:hAnsi="Georgia"/>
          <w:b/>
          <w:i w:val="0"/>
          <w:color w:val="0B1F3A"/>
          <w:sz w:val="26"/>
        </w:rPr>
        <w:t>What an admissions tutor is reading it for</w:t>
      </w:r>
    </w:p>
    <w:p>
      <w:pPr>
        <w:spacing w:before="0" w:after="120" w:line="300" w:lineRule="auto"/>
      </w:pPr>
      <w:r>
        <w:rPr>
          <w:rFonts w:ascii="Arial" w:hAnsi="Arial"/>
          <w:b w:val="0"/>
          <w:i w:val="0"/>
          <w:color w:val="3F4050"/>
          <w:sz w:val="19"/>
        </w:rPr>
        <w:t>A selector reads a reference quickly, looking for answers to a small number of questions. Write to these and a short reference outperforms a long one.</w:t>
      </w:r>
    </w:p>
    <w:p>
      <w:pPr>
        <w:pStyle w:val="ListBullet"/>
        <w:spacing w:before="0" w:after="80" w:line="288" w:lineRule="auto"/>
        <w:ind w:left="425"/>
      </w:pPr>
      <w:r>
        <w:rPr>
          <w:rFonts w:ascii="Arial" w:hAnsi="Arial"/>
          <w:b/>
          <w:color w:val="0B1F3A"/>
          <w:sz w:val="20"/>
        </w:rPr>
        <w:t xml:space="preserve">Are the predicted grades real? </w:t>
      </w:r>
      <w:r>
        <w:rPr>
          <w:rFonts w:ascii="Arial" w:hAnsi="Arial"/>
          <w:color w:val="3F4050"/>
          <w:sz w:val="20"/>
        </w:rPr>
        <w:t>A prediction that the prose does not support reads as a prediction that will not be met, and it costs the student more than a lower, consistent one would.</w:t>
      </w:r>
    </w:p>
    <w:p>
      <w:pPr>
        <w:pStyle w:val="ListBullet"/>
        <w:spacing w:before="0" w:after="80" w:line="288" w:lineRule="auto"/>
        <w:ind w:left="425"/>
      </w:pPr>
      <w:r>
        <w:rPr>
          <w:rFonts w:ascii="Arial" w:hAnsi="Arial"/>
          <w:b/>
          <w:color w:val="0B1F3A"/>
          <w:sz w:val="20"/>
        </w:rPr>
        <w:t xml:space="preserve">Did the things in the application actually happen? </w:t>
      </w:r>
      <w:r>
        <w:rPr>
          <w:rFonts w:ascii="Arial" w:hAnsi="Arial"/>
          <w:color w:val="3F4050"/>
          <w:sz w:val="20"/>
        </w:rPr>
        <w:t>The reference is the only independent voice in the file. One specific sentence from you turns a claim into a fact, and silence where confirmation would be natural is noticed.</w:t>
      </w:r>
    </w:p>
    <w:p>
      <w:pPr>
        <w:pStyle w:val="ListBullet"/>
        <w:spacing w:before="0" w:after="80" w:line="288" w:lineRule="auto"/>
        <w:ind w:left="425"/>
      </w:pPr>
      <w:r>
        <w:rPr>
          <w:rFonts w:ascii="Arial" w:hAnsi="Arial"/>
          <w:b/>
          <w:color w:val="0B1F3A"/>
          <w:sz w:val="20"/>
        </w:rPr>
        <w:t xml:space="preserve">How remarkable is this achievement, in this context? </w:t>
      </w:r>
      <w:r>
        <w:rPr>
          <w:rFonts w:ascii="Arial" w:hAnsi="Arial"/>
          <w:color w:val="3F4050"/>
          <w:sz w:val="20"/>
        </w:rPr>
        <w:t>Three A grades mean something different in a centre where that is the median and in one where it is the best result in a decade. Sections one and two let a selector make that judgement.</w:t>
      </w:r>
    </w:p>
    <w:p>
      <w:pPr>
        <w:pStyle w:val="ListBullet"/>
        <w:spacing w:before="0" w:after="80" w:line="288" w:lineRule="auto"/>
        <w:ind w:left="425"/>
      </w:pPr>
      <w:r>
        <w:rPr>
          <w:rFonts w:ascii="Arial" w:hAnsi="Arial"/>
          <w:b/>
          <w:color w:val="0B1F3A"/>
          <w:sz w:val="20"/>
        </w:rPr>
        <w:t xml:space="preserve">Would we be comfortable with this person on a ward? </w:t>
      </w:r>
      <w:r>
        <w:rPr>
          <w:rFonts w:ascii="Arial" w:hAnsi="Arial"/>
          <w:color w:val="3F4050"/>
          <w:sz w:val="20"/>
        </w:rPr>
        <w:t>These are regulated professions. Reliability, attendance, behaviour when unsupervised, how they take correction and how they treat support staff are things only you can speak to.</w:t>
      </w:r>
    </w:p>
    <w:p>
      <w:pPr>
        <w:pStyle w:val="ListBullet"/>
        <w:spacing w:before="0" w:after="80" w:line="288" w:lineRule="auto"/>
        <w:ind w:left="425"/>
      </w:pPr>
      <w:r>
        <w:rPr>
          <w:rFonts w:ascii="Arial" w:hAnsi="Arial"/>
          <w:b/>
          <w:color w:val="0B1F3A"/>
          <w:sz w:val="20"/>
        </w:rPr>
        <w:t xml:space="preserve">Is there anything we cannot see? </w:t>
      </w:r>
      <w:r>
        <w:rPr>
          <w:rFonts w:ascii="Arial" w:hAnsi="Arial"/>
          <w:color w:val="3F4050"/>
          <w:sz w:val="20"/>
        </w:rPr>
        <w:t>A resit, a dip, a gap or a change of centre. An unexplained anomaly is read at its worst, and one unprompted sentence removes the doubt.</w:t>
      </w:r>
    </w:p>
    <w:p>
      <w:pPr>
        <w:spacing w:before="120" w:after="120"/>
        <w:pBdr>
          <w:bottom w:val="single" w:sz="6" w:space="1" w:color="D9E1EA"/>
        </w:pBdr>
      </w:pPr>
    </w:p>
    <w:p>
      <w:pPr>
        <w:spacing w:before="320" w:after="40" w:line="240" w:lineRule="auto"/>
      </w:pPr>
      <w:r>
        <w:rPr>
          <w:rFonts w:ascii="Arial" w:hAnsi="Arial"/>
          <w:b/>
          <w:i w:val="0"/>
          <w:color w:val="0E7C7B"/>
          <w:sz w:val="16"/>
        </w:rPr>
        <w:t>SECTION ONE</w:t>
      </w:r>
    </w:p>
    <w:p>
      <w:pPr>
        <w:spacing w:before="0" w:after="120" w:line="264" w:lineRule="auto"/>
      </w:pPr>
      <w:r>
        <w:rPr>
          <w:rFonts w:ascii="Georgia" w:hAnsi="Georgia"/>
          <w:b/>
          <w:i w:val="0"/>
          <w:color w:val="0B1F3A"/>
          <w:sz w:val="32"/>
        </w:rPr>
        <w:t>A general statement about your centre</w:t>
      </w:r>
    </w:p>
    <w:p>
      <w:pPr>
        <w:spacing w:before="0" w:after="120" w:line="300" w:lineRule="auto"/>
      </w:pPr>
      <w:r>
        <w:rPr>
          <w:rFonts w:ascii="Arial" w:hAnsi="Arial"/>
          <w:b w:val="0"/>
          <w:i w:val="0"/>
          <w:color w:val="3F4050"/>
          <w:sz w:val="21"/>
        </w:rPr>
        <w:t>This section is about the school, college or centre rather than the individual applicant. It is where you give a university the context it needs in order to read a set of grades correctly.</w:t>
      </w:r>
    </w:p>
    <w:tbl>
      <w:tblPr>
        <w:tblW w:type="auto" w:w="0"/>
        <w:jc w:val="center"/>
        <w:tblLook w:firstColumn="1" w:firstRow="1" w:lastColumn="0" w:lastRow="0" w:noHBand="0" w:noVBand="1" w:val="04A0"/>
      </w:tblPr>
      <w:tblGrid>
        <w:gridCol w:w="9858"/>
      </w:tblGrid>
      <w:tr>
        <w:tc>
          <w:tcPr>
            <w:tcW w:type="dxa" w:w="9858"/>
            <w:shd w:val="clear" w:color="auto" w:fill="E6F2F2"/>
            <w:tcBorders>
              <w:top w:val="single" w:sz="6" w:color="D9E1EA"/>
              <w:left w:val="single" w:sz="6" w:color="D9E1EA"/>
              <w:bottom w:val="single" w:sz="6" w:color="D9E1EA"/>
              <w:right w:val="single" w:sz="6" w:color="D9E1EA"/>
            </w:tcBorders>
          </w:tcPr>
          <w:p>
            <w:pPr>
              <w:spacing w:after="80"/>
            </w:pPr>
            <w:r>
              <w:rPr>
                <w:rFonts w:ascii="Georgia" w:hAnsi="Georgia"/>
                <w:b/>
                <w:color w:val="0E7C7B"/>
                <w:sz w:val="22"/>
              </w:rPr>
              <w:t>Write this once, reuse it all cycle</w:t>
            </w:r>
          </w:p>
          <w:p>
            <w:pPr>
              <w:spacing w:after="60" w:line="288" w:lineRule="auto"/>
            </w:pPr>
            <w:r>
              <w:rPr>
                <w:rFonts w:ascii="Arial" w:hAnsi="Arial"/>
                <w:color w:val="3F4050"/>
                <w:sz w:val="19"/>
              </w:rPr>
              <w:t>Because it describes the centre and not the student, section one can be written once and used for every applicant you reference this cycle. Write it properly in September, save it, and reuse it.</w:t>
            </w:r>
          </w:p>
          <w:p>
            <w:pPr>
              <w:spacing w:after="60" w:line="288" w:lineRule="auto"/>
            </w:pPr>
            <w:r>
              <w:rPr>
                <w:rFonts w:ascii="Arial" w:hAnsi="Arial"/>
                <w:color w:val="3F4050"/>
                <w:sz w:val="19"/>
              </w:rPr>
              <w:t>Medicine, dentistry and veterinary applications close in mid October, well before the main January deadline, so reference writing lands in the busiest fortnight of the autumn term. This is the single biggest time saving available to a referee.</w:t>
            </w:r>
          </w:p>
        </w:tc>
      </w:tr>
    </w:tbl>
    <w:p>
      <w:pPr>
        <w:spacing w:after="200" w:before="0"/>
      </w:pPr>
    </w:p>
    <w:p>
      <w:pPr>
        <w:spacing w:before="0" w:after="80" w:line="300" w:lineRule="auto"/>
      </w:pPr>
      <w:r>
        <w:rPr>
          <w:rFonts w:ascii="Arial" w:hAnsi="Arial"/>
          <w:b/>
          <w:i w:val="0"/>
          <w:color w:val="0B1F3A"/>
          <w:sz w:val="20"/>
        </w:rPr>
        <w:t>Cover, in a few sentences each:</w:t>
      </w:r>
    </w:p>
    <w:p>
      <w:pPr>
        <w:pStyle w:val="ListBullet"/>
        <w:spacing w:before="0" w:after="80" w:line="288" w:lineRule="auto"/>
        <w:ind w:left="425"/>
      </w:pPr>
      <w:r>
        <w:rPr>
          <w:rFonts w:ascii="Arial" w:hAnsi="Arial"/>
          <w:color w:val="3F4050"/>
          <w:sz w:val="20"/>
        </w:rPr>
        <w:t>The type of centre: state comprehensive, grammar, independent, sixth form college, further education college, and whether it is selective at 16.</w:t>
      </w:r>
    </w:p>
    <w:p>
      <w:pPr>
        <w:pStyle w:val="ListBullet"/>
        <w:spacing w:before="0" w:after="80" w:line="288" w:lineRule="auto"/>
        <w:ind w:left="425"/>
      </w:pPr>
      <w:r>
        <w:rPr>
          <w:rFonts w:ascii="Arial" w:hAnsi="Arial"/>
          <w:color w:val="3F4050"/>
          <w:sz w:val="20"/>
        </w:rPr>
        <w:t>The size and nature of the cohort, and the typical destinations of your leavers.</w:t>
      </w:r>
    </w:p>
    <w:p>
      <w:pPr>
        <w:pStyle w:val="ListBullet"/>
        <w:spacing w:before="0" w:after="80" w:line="288" w:lineRule="auto"/>
        <w:ind w:left="425"/>
      </w:pPr>
      <w:r>
        <w:rPr>
          <w:rFonts w:ascii="Arial" w:hAnsi="Arial"/>
          <w:color w:val="3F4050"/>
          <w:sz w:val="20"/>
        </w:rPr>
        <w:t>The curriculum and qualifications you offer, and any subject or option block constraints that limited what a student here could take.</w:t>
      </w:r>
    </w:p>
    <w:p>
      <w:pPr>
        <w:pStyle w:val="ListBullet"/>
        <w:spacing w:before="0" w:after="80" w:line="288" w:lineRule="auto"/>
        <w:ind w:left="425"/>
      </w:pPr>
      <w:r>
        <w:rPr>
          <w:rFonts w:ascii="Arial" w:hAnsi="Arial"/>
          <w:color w:val="3F4050"/>
          <w:sz w:val="20"/>
        </w:rPr>
        <w:t>Whether this centre routinely sends applicants to medicine, dentistry or veterinary medicine, or whether this is unusual for you.</w:t>
      </w:r>
    </w:p>
    <w:p>
      <w:pPr>
        <w:pStyle w:val="ListBullet"/>
        <w:spacing w:before="0" w:after="80" w:line="288" w:lineRule="auto"/>
        <w:ind w:left="425"/>
      </w:pPr>
      <w:r>
        <w:rPr>
          <w:rFonts w:ascii="Arial" w:hAnsi="Arial"/>
          <w:color w:val="3F4050"/>
          <w:sz w:val="20"/>
        </w:rPr>
        <w:t>Anything about the last two years that affected the whole cohort: staffing, disruption to teaching, a change of examination centre, or building works.</w:t>
      </w:r>
    </w:p>
    <w:p>
      <w:pPr>
        <w:pStyle w:val="ListBullet"/>
        <w:spacing w:before="0" w:after="80" w:line="288" w:lineRule="auto"/>
        <w:ind w:left="425"/>
      </w:pPr>
      <w:r>
        <w:rPr>
          <w:rFonts w:ascii="Arial" w:hAnsi="Arial"/>
          <w:color w:val="3F4050"/>
          <w:sz w:val="20"/>
        </w:rPr>
        <w:t>What your predicted grades are based on, so a selector knows how to read them.</w:t>
      </w:r>
    </w:p>
    <w:p>
      <w:pPr>
        <w:spacing w:before="40" w:after="80" w:line="288" w:lineRule="auto"/>
        <w:ind w:left="283"/>
        <w:pBdr>
          <w:left w:val="single" w:sz="18" w:space="8" w:color="9CCACA"/>
        </w:pBdr>
      </w:pPr>
      <w:r>
        <w:rPr>
          <w:rFonts w:ascii="Arial" w:hAnsi="Arial"/>
          <w:b w:val="0"/>
          <w:i/>
          <w:color w:val="808690"/>
          <w:sz w:val="19"/>
        </w:rPr>
        <w:t>[Centre name] is an [11 to 18 mixed comprehensive] in [area], with approximately [number] students in the sixth form. In [year], [percentage] of students achieved [benchmark], and [number] progressed to higher education.</w:t>
      </w:r>
    </w:p>
    <w:p>
      <w:pPr>
        <w:spacing w:before="40" w:after="80" w:line="288" w:lineRule="auto"/>
        <w:ind w:left="283"/>
        <w:pBdr>
          <w:left w:val="single" w:sz="18" w:space="8" w:color="9CCACA"/>
        </w:pBdr>
      </w:pPr>
      <w:r>
        <w:rPr>
          <w:rFonts w:ascii="Arial" w:hAnsi="Arial"/>
          <w:b w:val="0"/>
          <w:i/>
          <w:color w:val="808690"/>
          <w:sz w:val="19"/>
        </w:rPr>
        <w:t>We offer [number] A level subjects; [subject] is not available here, which is why applicants from this centre normally present [alternative combination].</w:t>
      </w:r>
    </w:p>
    <w:p>
      <w:pPr>
        <w:spacing w:before="40" w:after="80" w:line="288" w:lineRule="auto"/>
        <w:ind w:left="283"/>
        <w:pBdr>
          <w:left w:val="single" w:sz="18" w:space="8" w:color="9CCACA"/>
        </w:pBdr>
      </w:pPr>
      <w:r>
        <w:rPr>
          <w:rFonts w:ascii="Arial" w:hAnsi="Arial"/>
          <w:b w:val="0"/>
          <w:i/>
          <w:color w:val="808690"/>
          <w:sz w:val="19"/>
        </w:rPr>
        <w:t>We put forward approximately [number] applicants to medicine, dentistry or veterinary medicine each year, of whom [number] typically receive an offer.</w:t>
      </w:r>
    </w:p>
    <w:p>
      <w:pPr>
        <w:spacing w:before="40" w:after="80" w:line="288" w:lineRule="auto"/>
        <w:ind w:left="283"/>
        <w:pBdr>
          <w:left w:val="single" w:sz="18" w:space="8" w:color="9CCACA"/>
        </w:pBdr>
      </w:pPr>
      <w:r>
        <w:rPr>
          <w:rFonts w:ascii="Arial" w:hAnsi="Arial"/>
          <w:b w:val="0"/>
          <w:i/>
          <w:color w:val="808690"/>
          <w:sz w:val="19"/>
        </w:rPr>
        <w:t>Predicted grades at this centre are based on [mock performance, coursework and trajectory], moderated by [process].</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Pr>
              <w:spacing w:after="40"/>
            </w:pPr>
            <w:r>
              <w:rPr>
                <w:rFonts w:ascii="Arial" w:hAnsi="Arial"/>
                <w:b/>
                <w:color w:val="808690"/>
                <w:sz w:val="16"/>
              </w:rPr>
              <w:t>SECTION ONE: YOUR CENTRE STATEMENT</w:t>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r>
        <w:br w:type="page"/>
      </w:r>
    </w:p>
    <w:p>
      <w:pPr>
        <w:spacing w:before="320" w:after="40" w:line="240" w:lineRule="auto"/>
      </w:pPr>
      <w:r>
        <w:rPr>
          <w:rFonts w:ascii="Arial" w:hAnsi="Arial"/>
          <w:b/>
          <w:i w:val="0"/>
          <w:color w:val="0E7C7B"/>
          <w:sz w:val="16"/>
        </w:rPr>
        <w:t>SECTION TWO</w:t>
      </w:r>
    </w:p>
    <w:p>
      <w:pPr>
        <w:spacing w:before="0" w:after="120" w:line="264" w:lineRule="auto"/>
      </w:pPr>
      <w:r>
        <w:rPr>
          <w:rFonts w:ascii="Georgia" w:hAnsi="Georgia"/>
          <w:b/>
          <w:i w:val="0"/>
          <w:color w:val="0B1F3A"/>
          <w:sz w:val="32"/>
        </w:rPr>
        <w:t>Extenuating circumstances affecting education or achievement</w:t>
      </w:r>
    </w:p>
    <w:p>
      <w:pPr>
        <w:spacing w:before="0" w:after="160" w:line="300" w:lineRule="auto"/>
      </w:pPr>
      <w:r>
        <w:rPr>
          <w:rFonts w:ascii="Arial" w:hAnsi="Arial"/>
          <w:b w:val="0"/>
          <w:i w:val="0"/>
          <w:color w:val="3F4050"/>
          <w:sz w:val="21"/>
        </w:rPr>
        <w:t>This section is individual to the student, and for many applicants it will be empty. Leaving it blank is entirely normal and carries no penalty. Where it is not blank, it is often the most consequential part of the whole application, because it is what allows a contextual offer or a sympathetic read at the borderline.</w:t>
      </w:r>
    </w:p>
    <w:tbl>
      <w:tblPr>
        <w:tblW w:type="auto" w:w="0"/>
        <w:jc w:val="center"/>
        <w:tblLook w:firstColumn="1" w:firstRow="1" w:lastColumn="0" w:lastRow="0" w:noHBand="0" w:noVBand="1" w:val="04A0"/>
      </w:tblPr>
      <w:tblGrid>
        <w:gridCol w:w="9858"/>
      </w:tblGrid>
      <w:tr>
        <w:tc>
          <w:tcPr>
            <w:tcW w:type="dxa" w:w="9858"/>
            <w:shd w:val="clear" w:color="auto" w:fill="FDF3E3"/>
            <w:tcBorders>
              <w:top w:val="single" w:sz="6" w:color="D9E1EA"/>
              <w:left w:val="single" w:sz="6" w:color="D9E1EA"/>
              <w:bottom w:val="single" w:sz="6" w:color="D9E1EA"/>
              <w:right w:val="single" w:sz="6" w:color="D9E1EA"/>
            </w:tcBorders>
          </w:tcPr>
          <w:p>
            <w:pPr>
              <w:spacing w:after="80"/>
            </w:pPr>
            <w:r>
              <w:rPr>
                <w:rFonts w:ascii="Georgia" w:hAnsi="Georgia"/>
                <w:b/>
                <w:color w:val="C8922A"/>
                <w:sz w:val="22"/>
              </w:rPr>
              <w:t>Agree it with the student first, always</w:t>
            </w:r>
          </w:p>
          <w:p>
            <w:pPr>
              <w:spacing w:after="60" w:line="288" w:lineRule="auto"/>
            </w:pPr>
            <w:r>
              <w:rPr>
                <w:rFonts w:ascii="Arial" w:hAnsi="Arial"/>
                <w:color w:val="3F4050"/>
                <w:sz w:val="19"/>
              </w:rPr>
              <w:t>Before you write a word here, tell the student what you propose to say and get their agreement. A student who is surprised at interview by something in their own reference is badly served. If they do not want a circumstance disclosed, respect that and write nothing about it.</w:t>
            </w:r>
          </w:p>
          <w:p>
            <w:pPr>
              <w:spacing w:after="60" w:line="288" w:lineRule="auto"/>
            </w:pPr>
            <w:r>
              <w:rPr>
                <w:rFonts w:ascii="Arial" w:hAnsi="Arial"/>
                <w:color w:val="3F4050"/>
                <w:sz w:val="19"/>
              </w:rPr>
              <w:t>Describe the impact on education, not the diagnosis. Disclosing health information without explicit consent is a serious matter.</w:t>
            </w:r>
          </w:p>
        </w:tc>
      </w:tr>
    </w:tbl>
    <w:p>
      <w:pPr>
        <w:spacing w:after="200" w:before="0"/>
      </w:pPr>
    </w:p>
    <w:p>
      <w:pPr>
        <w:spacing w:before="0" w:after="80" w:line="300" w:lineRule="auto"/>
      </w:pPr>
      <w:r>
        <w:rPr>
          <w:rFonts w:ascii="Arial" w:hAnsi="Arial"/>
          <w:b/>
          <w:i w:val="0"/>
          <w:color w:val="0B1F3A"/>
          <w:sz w:val="20"/>
        </w:rPr>
        <w:t>If you are writing in this section, cover:</w:t>
      </w:r>
    </w:p>
    <w:p>
      <w:pPr>
        <w:pStyle w:val="ListBullet"/>
        <w:spacing w:before="0" w:after="80" w:line="288" w:lineRule="auto"/>
        <w:ind w:left="425"/>
      </w:pPr>
      <w:r>
        <w:rPr>
          <w:rFonts w:ascii="Arial" w:hAnsi="Arial"/>
          <w:color w:val="3F4050"/>
          <w:sz w:val="20"/>
        </w:rPr>
        <w:t>Dates, duration and size. When it started, how long it lasted, how many weeks of teaching were lost, and which assessments fell inside that window.</w:t>
      </w:r>
    </w:p>
    <w:p>
      <w:pPr>
        <w:pStyle w:val="ListBullet"/>
        <w:spacing w:before="0" w:after="80" w:line="288" w:lineRule="auto"/>
        <w:ind w:left="425"/>
      </w:pPr>
      <w:r>
        <w:rPr>
          <w:rFonts w:ascii="Arial" w:hAnsi="Arial"/>
          <w:color w:val="3F4050"/>
          <w:sz w:val="20"/>
        </w:rPr>
        <w:t>What the centre did: the support you put in place.</w:t>
      </w:r>
    </w:p>
    <w:p>
      <w:pPr>
        <w:pStyle w:val="ListBullet"/>
        <w:spacing w:before="0" w:after="80" w:line="288" w:lineRule="auto"/>
        <w:ind w:left="425"/>
      </w:pPr>
      <w:r>
        <w:rPr>
          <w:rFonts w:ascii="Arial" w:hAnsi="Arial"/>
          <w:color w:val="3F4050"/>
          <w:sz w:val="20"/>
        </w:rPr>
        <w:t>What the student did in spite of it. This is the sentence that turns an explanation into evidence of character.</w:t>
      </w:r>
    </w:p>
    <w:p>
      <w:pPr>
        <w:pStyle w:val="ListBullet"/>
        <w:spacing w:before="0" w:after="80" w:line="288" w:lineRule="auto"/>
        <w:ind w:left="425"/>
      </w:pPr>
      <w:r>
        <w:rPr>
          <w:rFonts w:ascii="Arial" w:hAnsi="Arial"/>
          <w:color w:val="3F4050"/>
          <w:sz w:val="20"/>
        </w:rPr>
        <w:t>Whether the circumstance is resolved or ongoing, without speculating about the future or making promises about how the student will cope.</w:t>
      </w:r>
    </w:p>
    <w:p>
      <w:pPr>
        <w:spacing w:before="0" w:after="120" w:line="300" w:lineRule="auto"/>
      </w:pPr>
      <w:r>
        <w:rPr>
          <w:rFonts w:ascii="Arial" w:hAnsi="Arial"/>
          <w:b w:val="0"/>
          <w:i/>
          <w:color w:val="3F4050"/>
          <w:sz w:val="19"/>
        </w:rPr>
        <w:t>Reserve this section for circumstances that genuinely changed what a student could achieve. It loses its force if every applicant from your centre has one, and do not repeat the same material in section three for emphasis.</w:t>
      </w:r>
    </w:p>
    <w:p>
      <w:pPr>
        <w:spacing w:before="40" w:after="80" w:line="288" w:lineRule="auto"/>
        <w:ind w:left="283"/>
        <w:pBdr>
          <w:left w:val="single" w:sz="18" w:space="8" w:color="9CCACA"/>
        </w:pBdr>
      </w:pPr>
      <w:r>
        <w:rPr>
          <w:rFonts w:ascii="Arial" w:hAnsi="Arial"/>
          <w:b w:val="0"/>
          <w:i/>
          <w:color w:val="808690"/>
          <w:sz w:val="19"/>
        </w:rPr>
        <w:t>[Name] was absent for [number] weeks of Year [12 or 13] and missed the whole of the [module] teaching, which included the assessments sat in [month].</w:t>
      </w:r>
    </w:p>
    <w:p>
      <w:pPr>
        <w:spacing w:before="40" w:after="80" w:line="288" w:lineRule="auto"/>
        <w:ind w:left="283"/>
        <w:pBdr>
          <w:left w:val="single" w:sz="18" w:space="8" w:color="9CCACA"/>
        </w:pBdr>
      </w:pPr>
      <w:r>
        <w:rPr>
          <w:rFonts w:ascii="Arial" w:hAnsi="Arial"/>
          <w:b w:val="0"/>
          <w:i/>
          <w:color w:val="808690"/>
          <w:sz w:val="19"/>
        </w:rPr>
        <w:t>The centre provided [support], and [Name] [what they did anyway], recovering to [outcome] by [point in time].</w:t>
      </w:r>
    </w:p>
    <w:p>
      <w:pPr>
        <w:spacing w:before="40" w:after="80" w:line="288" w:lineRule="auto"/>
        <w:ind w:left="283"/>
        <w:pBdr>
          <w:left w:val="single" w:sz="18" w:space="8" w:color="9CCACA"/>
        </w:pBdr>
      </w:pPr>
      <w:r>
        <w:rPr>
          <w:rFonts w:ascii="Arial" w:hAnsi="Arial"/>
          <w:b w:val="0"/>
          <w:i/>
          <w:color w:val="808690"/>
          <w:sz w:val="19"/>
        </w:rPr>
        <w:t>[Name] has held caring responsibilities for [relationship] throughout Year 12 and Year 13, amounting to approximately [hours] each week. They are content for this to be shared.</w:t>
      </w:r>
    </w:p>
    <w:p>
      <w:pPr>
        <w:spacing w:before="40" w:after="80" w:line="288" w:lineRule="auto"/>
        <w:ind w:left="283"/>
        <w:pBdr>
          <w:left w:val="single" w:sz="18" w:space="8" w:color="9CCACA"/>
        </w:pBdr>
      </w:pPr>
      <w:r>
        <w:rPr>
          <w:rFonts w:ascii="Arial" w:hAnsi="Arial"/>
          <w:b w:val="0"/>
          <w:i/>
          <w:color w:val="808690"/>
          <w:sz w:val="19"/>
        </w:rPr>
        <w:t>This circumstance is now [resolved / ongoing]. [Name] has agreed that it should be disclosed to universities.</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Pr>
              <w:spacing w:after="40"/>
            </w:pPr>
            <w:r>
              <w:rPr>
                <w:rFonts w:ascii="Arial" w:hAnsi="Arial"/>
                <w:b/>
                <w:color w:val="808690"/>
                <w:sz w:val="16"/>
              </w:rPr>
              <w:t>SECTION TWO: LEAVE BLANK IF THERE IS NOTHING TO REPORT</w:t>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r>
        <w:br w:type="page"/>
      </w:r>
    </w:p>
    <w:p>
      <w:pPr>
        <w:spacing w:before="320" w:after="40" w:line="240" w:lineRule="auto"/>
      </w:pPr>
      <w:r>
        <w:rPr>
          <w:rFonts w:ascii="Arial" w:hAnsi="Arial"/>
          <w:b/>
          <w:i w:val="0"/>
          <w:color w:val="0E7C7B"/>
          <w:sz w:val="16"/>
        </w:rPr>
        <w:t>SECTION THREE, WORKED THROUGH</w:t>
      </w:r>
    </w:p>
    <w:p>
      <w:pPr>
        <w:spacing w:before="0" w:after="120" w:line="264" w:lineRule="auto"/>
      </w:pPr>
      <w:r>
        <w:rPr>
          <w:rFonts w:ascii="Georgia" w:hAnsi="Georgia"/>
          <w:b/>
          <w:i w:val="0"/>
          <w:color w:val="0B1F3A"/>
          <w:sz w:val="32"/>
        </w:rPr>
        <w:t>Anything else universities should know about the applicant</w:t>
      </w:r>
    </w:p>
    <w:p>
      <w:pPr>
        <w:spacing w:before="0" w:after="200" w:line="300" w:lineRule="auto"/>
      </w:pPr>
      <w:r>
        <w:rPr>
          <w:rFonts w:ascii="Arial" w:hAnsi="Arial"/>
          <w:b w:val="0"/>
          <w:i w:val="0"/>
          <w:color w:val="3F4050"/>
          <w:sz w:val="21"/>
        </w:rPr>
        <w:t>This is the open section and the one that does the work for medicine, dentistry and veterinary medicine. Treat it as a structured piece of writing rather than a paragraph of praise. Six moves, in this order, is the shape admissions tutors find easiest to read at speed.</w:t>
      </w:r>
    </w:p>
    <w:p>
      <w:pPr>
        <w:spacing w:before="200" w:after="60" w:line="300" w:lineRule="auto"/>
      </w:pPr>
      <w:r>
        <w:rPr>
          <w:rFonts w:ascii="Georgia" w:hAnsi="Georgia"/>
          <w:b/>
          <w:i w:val="0"/>
          <w:color w:val="0B1F3A"/>
          <w:sz w:val="23"/>
        </w:rPr>
        <w:t>1.  Your headline judgement, in the first sentence</w:t>
      </w:r>
    </w:p>
    <w:p>
      <w:pPr>
        <w:spacing w:before="0" w:after="80" w:line="300" w:lineRule="auto"/>
      </w:pPr>
      <w:r>
        <w:rPr>
          <w:rFonts w:ascii="Arial" w:hAnsi="Arial"/>
          <w:b w:val="0"/>
          <w:i w:val="0"/>
          <w:color w:val="3F4050"/>
          <w:sz w:val="19"/>
        </w:rPr>
        <w:t>Selectors read hundreds of these. Put your actual view first, calibrated and specific, rather than building to it. If the strongest thing you can honestly say is that the student is solid and reliable, say that. An inflated opening the rest of the reference does not support is worse than a modest one it does.</w:t>
      </w:r>
    </w:p>
    <w:p>
      <w:pPr>
        <w:spacing w:before="40" w:after="80" w:line="288" w:lineRule="auto"/>
        <w:ind w:left="283"/>
        <w:pBdr>
          <w:left w:val="single" w:sz="18" w:space="8" w:color="9CCACA"/>
        </w:pBdr>
      </w:pPr>
      <w:r>
        <w:rPr>
          <w:rFonts w:ascii="Arial" w:hAnsi="Arial"/>
          <w:b w:val="0"/>
          <w:i/>
          <w:color w:val="808690"/>
          <w:sz w:val="19"/>
        </w:rPr>
        <w:t>[Name] is among the strongest [subject] candidates we have put forward in [number] years, and I support this application without reservation.</w:t>
      </w:r>
    </w:p>
    <w:p>
      <w:pPr>
        <w:spacing w:before="40" w:after="80" w:line="288" w:lineRule="auto"/>
        <w:ind w:left="283"/>
        <w:pBdr>
          <w:left w:val="single" w:sz="18" w:space="8" w:color="9CCACA"/>
        </w:pBdr>
      </w:pPr>
      <w:r>
        <w:rPr>
          <w:rFonts w:ascii="Arial" w:hAnsi="Arial"/>
          <w:b w:val="0"/>
          <w:i/>
          <w:color w:val="808690"/>
          <w:sz w:val="19"/>
        </w:rPr>
        <w:t>[Name] is a consistent, well organised applicant whose progress over two years has been steady rather than dramatic, and who I believe will do well on a [course] course.</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pPr>
        <w:spacing w:before="200" w:after="60" w:line="300" w:lineRule="auto"/>
      </w:pPr>
      <w:r>
        <w:rPr>
          <w:rFonts w:ascii="Georgia" w:hAnsi="Georgia"/>
          <w:b/>
          <w:i w:val="0"/>
          <w:color w:val="0B1F3A"/>
          <w:sz w:val="23"/>
        </w:rPr>
        <w:t>2.  Academic evidence, with numbers where you have them</w:t>
      </w:r>
    </w:p>
    <w:p>
      <w:pPr>
        <w:spacing w:before="0" w:after="80" w:line="300" w:lineRule="auto"/>
      </w:pPr>
      <w:r>
        <w:rPr>
          <w:rFonts w:ascii="Arial" w:hAnsi="Arial"/>
          <w:b w:val="0"/>
          <w:i w:val="0"/>
          <w:color w:val="3F4050"/>
          <w:sz w:val="19"/>
        </w:rPr>
        <w:t>Move from the claim to the evidence immediately. Use positions, marks, trajectories and comparisons within the cohort. Where a prediction sits above current attainment, explain why you believe it: that is the sentence that makes a prediction credible.</w:t>
      </w:r>
    </w:p>
    <w:p>
      <w:pPr>
        <w:spacing w:before="40" w:after="80" w:line="288" w:lineRule="auto"/>
        <w:ind w:left="283"/>
        <w:pBdr>
          <w:left w:val="single" w:sz="18" w:space="8" w:color="9CCACA"/>
        </w:pBdr>
      </w:pPr>
      <w:r>
        <w:rPr>
          <w:rFonts w:ascii="Arial" w:hAnsi="Arial"/>
          <w:b w:val="0"/>
          <w:i/>
          <w:color w:val="808690"/>
          <w:sz w:val="19"/>
        </w:rPr>
        <w:t>[Name] currently ranks [position] of [cohort size] in [subject], having improved from [earlier position] following [specific change].</w:t>
      </w:r>
    </w:p>
    <w:p>
      <w:pPr>
        <w:spacing w:before="40" w:after="80" w:line="288" w:lineRule="auto"/>
        <w:ind w:left="283"/>
        <w:pBdr>
          <w:left w:val="single" w:sz="18" w:space="8" w:color="9CCACA"/>
        </w:pBdr>
      </w:pPr>
      <w:r>
        <w:rPr>
          <w:rFonts w:ascii="Arial" w:hAnsi="Arial"/>
          <w:b w:val="0"/>
          <w:i/>
          <w:color w:val="808690"/>
          <w:sz w:val="19"/>
        </w:rPr>
        <w:t>Our prediction of [grades] reflects [mock performance / coursework / trajectory], and is in line with the outcomes of students at a comparable point in previous cohorts.</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pPr>
        <w:spacing w:before="200" w:after="60" w:line="300" w:lineRule="auto"/>
      </w:pPr>
      <w:r>
        <w:rPr>
          <w:rFonts w:ascii="Georgia" w:hAnsi="Georgia"/>
          <w:b/>
          <w:i w:val="0"/>
          <w:color w:val="0B1F3A"/>
          <w:sz w:val="23"/>
        </w:rPr>
        <w:t>3.  Evidence of suitability for this course specifically</w:t>
      </w:r>
    </w:p>
    <w:p>
      <w:pPr>
        <w:spacing w:before="0" w:after="80" w:line="300" w:lineRule="auto"/>
      </w:pPr>
      <w:r>
        <w:rPr>
          <w:rFonts w:ascii="Arial" w:hAnsi="Arial"/>
          <w:b w:val="0"/>
          <w:i w:val="0"/>
          <w:color w:val="3F4050"/>
          <w:sz w:val="19"/>
        </w:rPr>
        <w:t>This is the sentence that distinguishes a medicine reference from a generic one. Name the professional attribute, then give the incident that evidences it. One concrete example beats four adjectives, and selectors are trained to discount unevidenced adjectives.</w:t>
      </w:r>
    </w:p>
    <w:p>
      <w:pPr>
        <w:spacing w:before="40" w:after="80" w:line="288" w:lineRule="auto"/>
        <w:ind w:left="283"/>
        <w:pBdr>
          <w:left w:val="single" w:sz="18" w:space="8" w:color="9CCACA"/>
        </w:pBdr>
      </w:pPr>
      <w:r>
        <w:rPr>
          <w:rFonts w:ascii="Arial" w:hAnsi="Arial"/>
          <w:b w:val="0"/>
          <w:i/>
          <w:color w:val="808690"/>
          <w:sz w:val="19"/>
        </w:rPr>
        <w:t>When [specific situation], [Name] [specific action], which is the clearest evidence I can give of [attribute: reliability under pressure / communication with people unlike themselves / judgement].</w:t>
      </w:r>
    </w:p>
    <w:p>
      <w:pPr>
        <w:spacing w:before="40" w:after="80" w:line="288" w:lineRule="auto"/>
        <w:ind w:left="283"/>
        <w:pBdr>
          <w:left w:val="single" w:sz="18" w:space="8" w:color="9CCACA"/>
        </w:pBdr>
      </w:pPr>
      <w:r>
        <w:rPr>
          <w:rFonts w:ascii="Arial" w:hAnsi="Arial"/>
          <w:b w:val="0"/>
          <w:i/>
          <w:color w:val="808690"/>
          <w:sz w:val="19"/>
        </w:rPr>
        <w:t>[Name] has sustained [commitment] over [duration], including through [period of difficulty], which speaks to the persistence this course demands.</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pPr>
        <w:spacing w:before="200" w:after="60" w:line="300" w:lineRule="auto"/>
      </w:pPr>
      <w:r>
        <w:rPr>
          <w:rFonts w:ascii="Georgia" w:hAnsi="Georgia"/>
          <w:b/>
          <w:i w:val="0"/>
          <w:color w:val="0B1F3A"/>
          <w:sz w:val="23"/>
        </w:rPr>
        <w:t>4.  Corroborate the work experience, do not re-describe it</w:t>
      </w:r>
    </w:p>
    <w:p>
      <w:pPr>
        <w:spacing w:before="0" w:after="80" w:line="300" w:lineRule="auto"/>
      </w:pPr>
      <w:r>
        <w:rPr>
          <w:rFonts w:ascii="Arial" w:hAnsi="Arial"/>
          <w:b w:val="0"/>
          <w:i w:val="0"/>
          <w:color w:val="3F4050"/>
          <w:sz w:val="19"/>
        </w:rPr>
        <w:t>The applicant has already described the placement. Your job is to confirm it happened, say something about how they behaved during it that they could not say themselves, and, where you can, report what the placement provider told you.</w:t>
      </w:r>
    </w:p>
    <w:p>
      <w:pPr>
        <w:spacing w:before="40" w:after="80" w:line="288" w:lineRule="auto"/>
        <w:ind w:left="283"/>
        <w:pBdr>
          <w:left w:val="single" w:sz="18" w:space="8" w:color="9CCACA"/>
        </w:pBdr>
      </w:pPr>
      <w:r>
        <w:rPr>
          <w:rFonts w:ascii="Arial" w:hAnsi="Arial"/>
          <w:b w:val="0"/>
          <w:i/>
          <w:color w:val="808690"/>
          <w:sz w:val="19"/>
        </w:rPr>
        <w:t>I can confirm [Name] completed [placement] over [duration]; the [supervisor role] reported that [specific feedback].</w:t>
      </w:r>
    </w:p>
    <w:p>
      <w:pPr>
        <w:spacing w:before="40" w:after="80" w:line="288" w:lineRule="auto"/>
        <w:ind w:left="283"/>
        <w:pBdr>
          <w:left w:val="single" w:sz="18" w:space="8" w:color="9CCACA"/>
        </w:pBdr>
      </w:pPr>
      <w:r>
        <w:rPr>
          <w:rFonts w:ascii="Arial" w:hAnsi="Arial"/>
          <w:b w:val="0"/>
          <w:i/>
          <w:color w:val="808690"/>
          <w:sz w:val="19"/>
        </w:rPr>
        <w:t>[Name] arranged this placement themselves after [number] unsuccessful approaches, which I mention because that persistence is not visible elsewhere in the application.</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pPr>
        <w:spacing w:before="200" w:after="60" w:line="300" w:lineRule="auto"/>
      </w:pPr>
      <w:r>
        <w:rPr>
          <w:rFonts w:ascii="Georgia" w:hAnsi="Georgia"/>
          <w:b/>
          <w:i w:val="0"/>
          <w:color w:val="0B1F3A"/>
          <w:sz w:val="23"/>
        </w:rPr>
        <w:t>5.  Contribution to the centre, briefly</w:t>
      </w:r>
    </w:p>
    <w:p>
      <w:pPr>
        <w:spacing w:before="0" w:after="80" w:line="300" w:lineRule="auto"/>
      </w:pPr>
      <w:r>
        <w:rPr>
          <w:rFonts w:ascii="Arial" w:hAnsi="Arial"/>
          <w:b w:val="0"/>
          <w:i w:val="0"/>
          <w:color w:val="3F4050"/>
          <w:sz w:val="19"/>
        </w:rPr>
        <w:t>Keep this short and make it earn its place. A leadership role only matters if you say what changed because this student held it. If nothing changed, leave it out and use the characters elsewhere.</w:t>
      </w:r>
    </w:p>
    <w:p>
      <w:pPr>
        <w:spacing w:before="40" w:after="80" w:line="288" w:lineRule="auto"/>
        <w:ind w:left="283"/>
        <w:pBdr>
          <w:left w:val="single" w:sz="18" w:space="8" w:color="9CCACA"/>
        </w:pBdr>
      </w:pPr>
      <w:r>
        <w:rPr>
          <w:rFonts w:ascii="Arial" w:hAnsi="Arial"/>
          <w:b w:val="0"/>
          <w:i/>
          <w:color w:val="808690"/>
          <w:sz w:val="19"/>
        </w:rPr>
        <w:t>As [role], [Name] [specific thing they built, started or sustained], which has continued after them.</w:t>
      </w:r>
    </w:p>
    <w:p>
      <w:pPr>
        <w:spacing w:before="40" w:after="80" w:line="288" w:lineRule="auto"/>
        <w:ind w:left="283"/>
        <w:pBdr>
          <w:left w:val="single" w:sz="18" w:space="8" w:color="9CCACA"/>
        </w:pBdr>
      </w:pPr>
      <w:r>
        <w:rPr>
          <w:rFonts w:ascii="Arial" w:hAnsi="Arial"/>
          <w:b w:val="0"/>
          <w:i/>
          <w:color w:val="808690"/>
          <w:sz w:val="19"/>
        </w:rPr>
        <w:t>[Name] has mentored [group] weekly for [duration], and colleagues describe [specific observation].</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pPr>
        <w:spacing w:before="200" w:after="60" w:line="300" w:lineRule="auto"/>
      </w:pPr>
      <w:r>
        <w:rPr>
          <w:rFonts w:ascii="Georgia" w:hAnsi="Georgia"/>
          <w:b/>
          <w:i w:val="0"/>
          <w:color w:val="0B1F3A"/>
          <w:sz w:val="23"/>
        </w:rPr>
        <w:t>6.  Close on the prediction and on any adjustment</w:t>
      </w:r>
    </w:p>
    <w:p>
      <w:pPr>
        <w:spacing w:before="0" w:after="80" w:line="300" w:lineRule="auto"/>
      </w:pPr>
      <w:r>
        <w:rPr>
          <w:rFonts w:ascii="Arial" w:hAnsi="Arial"/>
          <w:b w:val="0"/>
          <w:i w:val="0"/>
          <w:color w:val="3F4050"/>
          <w:sz w:val="19"/>
        </w:rPr>
        <w:t>Finish by restating your confidence in the prediction in one clean sentence, and flag any access arrangement the university will need to know about at interview, having first agreed that with the student.</w:t>
      </w:r>
    </w:p>
    <w:p>
      <w:pPr>
        <w:spacing w:before="40" w:after="80" w:line="288" w:lineRule="auto"/>
        <w:ind w:left="283"/>
        <w:pBdr>
          <w:left w:val="single" w:sz="18" w:space="8" w:color="9CCACA"/>
        </w:pBdr>
      </w:pPr>
      <w:r>
        <w:rPr>
          <w:rFonts w:ascii="Arial" w:hAnsi="Arial"/>
          <w:b w:val="0"/>
          <w:i/>
          <w:color w:val="808690"/>
          <w:sz w:val="19"/>
        </w:rPr>
        <w:t>I am confident [Name] will achieve [grades], and I recommend them for [course] without qualification.</w:t>
      </w:r>
    </w:p>
    <w:p>
      <w:pPr>
        <w:spacing w:before="40" w:after="80" w:line="288" w:lineRule="auto"/>
        <w:ind w:left="283"/>
        <w:pBdr>
          <w:left w:val="single" w:sz="18" w:space="8" w:color="9CCACA"/>
        </w:pBdr>
      </w:pPr>
      <w:r>
        <w:rPr>
          <w:rFonts w:ascii="Arial" w:hAnsi="Arial"/>
          <w:b w:val="0"/>
          <w:i/>
          <w:color w:val="808690"/>
          <w:sz w:val="19"/>
        </w:rPr>
        <w:t>[Name] has [access arrangement] in examinations; they are content for this to be shared so that any interview arrangements can be made in good time.</w:t>
      </w:r>
    </w:p>
    <w:tbl>
      <w:tblPr>
        <w:tblW w:type="auto" w:w="0"/>
        <w:jc w:val="center"/>
        <w:tblLook w:firstColumn="1" w:firstRow="1" w:lastColumn="0" w:lastRow="0" w:noHBand="0" w:noVBand="1" w:val="04A0"/>
      </w:tblPr>
      <w:tblGrid>
        <w:gridCol w:w="9858"/>
      </w:tblGrid>
      <w:tr>
        <w:tc>
          <w:tcPr>
            <w:tcW w:type="dxa" w:w="9858"/>
            <w:tcBorders>
              <w:top w:val="single" w:sz="8" w:color="D9E1EA"/>
              <w:left w:val="single" w:sz="8" w:color="D9E1EA"/>
              <w:bottom w:val="single" w:sz="8" w:color="D9E1EA"/>
              <w:right w:val="single" w:sz="8" w:color="D9E1EA"/>
            </w:tcBorders>
            <w:shd w:val="clear" w:color="auto" w:fill="FFFFFF"/>
          </w:tcPr>
          <w:p/>
          <w:p>
            <w:pPr>
              <w:spacing w:after="0" w:line="384" w:lineRule="auto"/>
            </w:pPr>
            <w:r>
              <w:rPr>
                <w:rFonts w:ascii="Arial" w:hAnsi="Arial"/>
                <w:sz w:val="21"/>
              </w:rPr>
            </w:r>
          </w:p>
          <w:p>
            <w:pPr>
              <w:spacing w:after="0" w:line="384" w:lineRule="auto"/>
            </w:pPr>
            <w:r>
              <w:rPr>
                <w:rFonts w:ascii="Arial" w:hAnsi="Arial"/>
                <w:sz w:val="21"/>
              </w:rPr>
            </w:r>
          </w:p>
          <w:p>
            <w:pPr>
              <w:spacing w:after="0" w:line="384" w:lineRule="auto"/>
            </w:pPr>
            <w:r>
              <w:rPr>
                <w:rFonts w:ascii="Arial" w:hAnsi="Arial"/>
                <w:sz w:val="21"/>
              </w:rPr>
            </w:r>
          </w:p>
        </w:tc>
      </w:tr>
    </w:tbl>
    <w:p>
      <w:pPr>
        <w:spacing w:after="200" w:before="0"/>
      </w:pPr>
    </w:p>
    <w:p>
      <w:r>
        <w:br w:type="page"/>
      </w:r>
    </w:p>
    <w:p>
      <w:pPr>
        <w:spacing w:before="320" w:after="40" w:line="240" w:lineRule="auto"/>
      </w:pPr>
      <w:r>
        <w:rPr>
          <w:rFonts w:ascii="Arial" w:hAnsi="Arial"/>
          <w:b/>
          <w:i w:val="0"/>
          <w:color w:val="0E7C7B"/>
          <w:sz w:val="16"/>
        </w:rPr>
        <w:t>BY SUBJECT</w:t>
      </w:r>
    </w:p>
    <w:p>
      <w:pPr>
        <w:spacing w:before="0" w:after="120" w:line="264" w:lineRule="auto"/>
      </w:pPr>
      <w:r>
        <w:rPr>
          <w:rFonts w:ascii="Georgia" w:hAnsi="Georgia"/>
          <w:b/>
          <w:i w:val="0"/>
          <w:color w:val="0B1F3A"/>
          <w:sz w:val="32"/>
        </w:rPr>
        <w:t>Subject notes</w:t>
      </w:r>
    </w:p>
    <w:p>
      <w:pPr>
        <w:spacing w:before="0" w:after="160" w:line="300" w:lineRule="auto"/>
      </w:pPr>
      <w:r>
        <w:rPr>
          <w:rFonts w:ascii="Arial" w:hAnsi="Arial"/>
          <w:b w:val="0"/>
          <w:i w:val="0"/>
          <w:color w:val="3F4050"/>
          <w:sz w:val="19"/>
        </w:rPr>
        <w:t>The three courses are selected for differently, and a reference written for one reads as a near miss for another. Use the notes for the course this applicant is applying to.</w:t>
      </w:r>
    </w:p>
    <w:tbl>
      <w:tblPr>
        <w:tblW w:type="auto" w:w="0"/>
        <w:jc w:val="center"/>
        <w:tblLook w:firstColumn="1" w:firstRow="1" w:lastColumn="0" w:lastRow="0" w:noHBand="0" w:noVBand="1" w:val="04A0"/>
      </w:tblPr>
      <w:tblGrid>
        <w:gridCol w:w="9858"/>
      </w:tblGrid>
      <w:tr>
        <w:tc>
          <w:tcPr>
            <w:tcW w:type="dxa" w:w="9858"/>
            <w:shd w:val="clear" w:color="auto" w:fill="FAF8F4"/>
            <w:tcBorders>
              <w:top w:val="single" w:sz="6" w:color="D9E1EA"/>
              <w:left w:val="single" w:sz="6" w:color="D9E1EA"/>
              <w:bottom w:val="single" w:sz="6" w:color="D9E1EA"/>
              <w:right w:val="single" w:sz="6" w:color="D9E1EA"/>
            </w:tcBorders>
          </w:tcPr>
          <w:p>
            <w:pPr>
              <w:spacing w:after="60"/>
            </w:pPr>
            <w:r>
              <w:rPr>
                <w:rFonts w:ascii="Georgia" w:hAnsi="Georgia"/>
                <w:b/>
                <w:color w:val="0B1F3A"/>
                <w:sz w:val="24"/>
              </w:rPr>
              <w:t>If the application is for medicine</w:t>
            </w:r>
          </w:p>
          <w:p>
            <w:pPr>
              <w:spacing w:after="100" w:line="288" w:lineRule="auto"/>
            </w:pPr>
            <w:r>
              <w:rPr>
                <w:rFonts w:ascii="Arial" w:hAnsi="Arial"/>
                <w:color w:val="3F4050"/>
                <w:sz w:val="19"/>
              </w:rPr>
              <w:t>Medical selectors read for durability and for insight. A commitment sustained across two years, and a student who understands the unglamorous parts of the job, is far more persuasive than a list of achievements.</w:t>
            </w:r>
          </w:p>
          <w:p>
            <w:pPr>
              <w:spacing w:after="40"/>
            </w:pPr>
            <w:r>
              <w:rPr>
                <w:rFonts w:ascii="Arial" w:hAnsi="Arial"/>
                <w:b/>
                <w:color w:val="0E7C7B"/>
                <w:sz w:val="16"/>
              </w:rPr>
              <w:t>EMPHASISE</w:t>
            </w:r>
          </w:p>
          <w:p>
            <w:pPr>
              <w:spacing w:after="40" w:line="276" w:lineRule="auto"/>
              <w:ind w:left="198"/>
            </w:pPr>
            <w:r>
              <w:rPr>
                <w:rFonts w:ascii="Arial" w:hAnsi="Arial"/>
                <w:color w:val="3F4050"/>
                <w:sz w:val="18"/>
              </w:rPr>
              <w:t>·  Sustained commitment with dates. How long, not how impressive.</w:t>
            </w:r>
          </w:p>
          <w:p>
            <w:pPr>
              <w:spacing w:after="40" w:line="276" w:lineRule="auto"/>
              <w:ind w:left="198"/>
            </w:pPr>
            <w:r>
              <w:rPr>
                <w:rFonts w:ascii="Arial" w:hAnsi="Arial"/>
                <w:color w:val="3F4050"/>
                <w:sz w:val="18"/>
              </w:rPr>
              <w:t>·  Behaviour under supervision: punctuality, reliability, how they respond when corrected.</w:t>
            </w:r>
          </w:p>
          <w:p>
            <w:pPr>
              <w:spacing w:after="40" w:line="276" w:lineRule="auto"/>
              <w:ind w:left="198"/>
            </w:pPr>
            <w:r>
              <w:rPr>
                <w:rFonts w:ascii="Arial" w:hAnsi="Arial"/>
                <w:color w:val="3F4050"/>
                <w:sz w:val="18"/>
              </w:rPr>
              <w:t>·  Teamwork in a real setting with real consequences, not a school activity where nothing was at stake.</w:t>
            </w:r>
          </w:p>
          <w:p>
            <w:pPr>
              <w:spacing w:after="40" w:line="276" w:lineRule="auto"/>
              <w:ind w:left="198"/>
            </w:pPr>
            <w:r>
              <w:rPr>
                <w:rFonts w:ascii="Arial" w:hAnsi="Arial"/>
                <w:color w:val="3F4050"/>
                <w:sz w:val="18"/>
              </w:rPr>
              <w:t>·  Reading beyond the specification, named specifically. The title of the paper they argued about is worth more than the words widely read.</w:t>
            </w:r>
          </w:p>
          <w:p>
            <w:pPr>
              <w:spacing w:after="40" w:line="276" w:lineRule="auto"/>
              <w:ind w:left="198"/>
            </w:pPr>
            <w:r>
              <w:rPr>
                <w:rFonts w:ascii="Arial" w:hAnsi="Arial"/>
                <w:color w:val="3F4050"/>
                <w:sz w:val="18"/>
              </w:rPr>
              <w:t>·  Resilience demonstrated rather than claimed: an occasion where something went badly and you saw what they did next.</w:t>
            </w:r>
          </w:p>
          <w:p>
            <w:pPr>
              <w:spacing w:before="80" w:after="60" w:line="276" w:lineRule="auto"/>
            </w:pPr>
            <w:r>
              <w:rPr>
                <w:rFonts w:ascii="Arial" w:hAnsi="Arial"/>
                <w:b/>
                <w:color w:val="C8922A"/>
                <w:sz w:val="18"/>
              </w:rPr>
              <w:t xml:space="preserve">Avoid.  </w:t>
            </w:r>
            <w:r>
              <w:rPr>
                <w:rFonts w:ascii="Arial" w:hAnsi="Arial"/>
                <w:color w:val="3F4050"/>
                <w:sz w:val="18"/>
              </w:rPr>
              <w:t>Do not restate the personal statement, and do not use the word passionate. Every reference uses it and it evidences nothing.</w:t>
            </w:r>
          </w:p>
          <w:p>
            <w:pPr>
              <w:spacing w:after="0"/>
            </w:pPr>
            <w:hyperlink r:id="rId12">
              <w:r>
                <w:rPr>
                  <w:color w:val="0E7C7B"/>
                  <w:u w:val="single"/>
                  <w:rFonts w:ascii="Arial" w:hAnsi="Arial"/>
                  <w:sz w:val="18"/>
                </w:rPr>
                <w:t xml:space="preserve">Medicine guides for the student</w:t>
              </w:r>
            </w:hyperlink>
          </w:p>
        </w:tc>
      </w:tr>
    </w:tbl>
    <w:p>
      <w:pPr>
        <w:spacing w:after="160" w:before="0"/>
      </w:pPr>
    </w:p>
    <w:tbl>
      <w:tblPr>
        <w:tblW w:type="auto" w:w="0"/>
        <w:jc w:val="center"/>
        <w:tblLook w:firstColumn="1" w:firstRow="1" w:lastColumn="0" w:lastRow="0" w:noHBand="0" w:noVBand="1" w:val="04A0"/>
      </w:tblPr>
      <w:tblGrid>
        <w:gridCol w:w="9858"/>
      </w:tblGrid>
      <w:tr>
        <w:tc>
          <w:tcPr>
            <w:tcW w:type="dxa" w:w="9858"/>
            <w:shd w:val="clear" w:color="auto" w:fill="FAF8F4"/>
            <w:tcBorders>
              <w:top w:val="single" w:sz="6" w:color="D9E1EA"/>
              <w:left w:val="single" w:sz="6" w:color="D9E1EA"/>
              <w:bottom w:val="single" w:sz="6" w:color="D9E1EA"/>
              <w:right w:val="single" w:sz="6" w:color="D9E1EA"/>
            </w:tcBorders>
          </w:tcPr>
          <w:p>
            <w:pPr>
              <w:spacing w:after="60"/>
            </w:pPr>
            <w:r>
              <w:rPr>
                <w:rFonts w:ascii="Georgia" w:hAnsi="Georgia"/>
                <w:b/>
                <w:color w:val="0B1F3A"/>
                <w:sz w:val="24"/>
              </w:rPr>
              <w:t>If the application is for dentistry</w:t>
            </w:r>
          </w:p>
          <w:p>
            <w:pPr>
              <w:spacing w:after="100" w:line="288" w:lineRule="auto"/>
            </w:pPr>
            <w:r>
              <w:rPr>
                <w:rFonts w:ascii="Arial" w:hAnsi="Arial"/>
                <w:color w:val="3F4050"/>
                <w:sz w:val="19"/>
              </w:rPr>
              <w:t>Dental selectors are alert to the applicant who is really applying to medicine and has chosen dentistry as a safer route. Your reference is the most credible place to close that question down, because you watched the student decide.</w:t>
            </w:r>
          </w:p>
          <w:p>
            <w:pPr>
              <w:spacing w:after="40"/>
            </w:pPr>
            <w:r>
              <w:rPr>
                <w:rFonts w:ascii="Arial" w:hAnsi="Arial"/>
                <w:b/>
                <w:color w:val="0E7C7B"/>
                <w:sz w:val="16"/>
              </w:rPr>
              <w:t>EMPHASISE</w:t>
            </w:r>
          </w:p>
          <w:p>
            <w:pPr>
              <w:spacing w:after="40" w:line="276" w:lineRule="auto"/>
              <w:ind w:left="198"/>
            </w:pPr>
            <w:r>
              <w:rPr>
                <w:rFonts w:ascii="Arial" w:hAnsi="Arial"/>
                <w:color w:val="3F4050"/>
                <w:sz w:val="18"/>
              </w:rPr>
              <w:t>·  Why dentistry and not medicine, in your own words, referring to when and how the student reached that view.</w:t>
            </w:r>
          </w:p>
          <w:p>
            <w:pPr>
              <w:spacing w:after="40" w:line="276" w:lineRule="auto"/>
              <w:ind w:left="198"/>
            </w:pPr>
            <w:r>
              <w:rPr>
                <w:rFonts w:ascii="Arial" w:hAnsi="Arial"/>
                <w:color w:val="3F4050"/>
                <w:sz w:val="18"/>
              </w:rPr>
              <w:t>·  Manual dexterity with a specific example and, ideally, a witness: fine practical work in art, laboratory technique, a craft or an instrument.</w:t>
            </w:r>
          </w:p>
          <w:p>
            <w:pPr>
              <w:spacing w:after="40" w:line="276" w:lineRule="auto"/>
              <w:ind w:left="198"/>
            </w:pPr>
            <w:r>
              <w:rPr>
                <w:rFonts w:ascii="Arial" w:hAnsi="Arial"/>
                <w:color w:val="3F4050"/>
                <w:sz w:val="18"/>
              </w:rPr>
              <w:t>·  Precision in practical subjects, including how they respond when practical work goes wrong.</w:t>
            </w:r>
          </w:p>
          <w:p>
            <w:pPr>
              <w:spacing w:after="40" w:line="276" w:lineRule="auto"/>
              <w:ind w:left="198"/>
            </w:pPr>
            <w:r>
              <w:rPr>
                <w:rFonts w:ascii="Arial" w:hAnsi="Arial"/>
                <w:color w:val="3F4050"/>
                <w:sz w:val="18"/>
              </w:rPr>
              <w:t>·  Communication with people who are anxious or reluctant, which is most of a dentist's working day.</w:t>
            </w:r>
          </w:p>
          <w:p>
            <w:pPr>
              <w:spacing w:after="40" w:line="276" w:lineRule="auto"/>
              <w:ind w:left="198"/>
            </w:pPr>
            <w:r>
              <w:rPr>
                <w:rFonts w:ascii="Arial" w:hAnsi="Arial"/>
                <w:color w:val="3F4050"/>
                <w:sz w:val="18"/>
              </w:rPr>
              <w:t>·  Dental specific work experience confirmed, since practice shadowing is harder to arrange than hospital shadowing.</w:t>
            </w:r>
          </w:p>
          <w:p>
            <w:pPr>
              <w:spacing w:before="80" w:after="60" w:line="276" w:lineRule="auto"/>
            </w:pPr>
            <w:r>
              <w:rPr>
                <w:rFonts w:ascii="Arial" w:hAnsi="Arial"/>
                <w:b/>
                <w:color w:val="C8922A"/>
                <w:sz w:val="18"/>
              </w:rPr>
              <w:t xml:space="preserve">Avoid.  </w:t>
            </w:r>
            <w:r>
              <w:rPr>
                <w:rFonts w:ascii="Arial" w:hAnsi="Arial"/>
                <w:color w:val="3F4050"/>
                <w:sz w:val="18"/>
              </w:rPr>
              <w:t>Avoid any phrasing that positions dentistry as a second choice or as similar to medicine. One careless clause of that kind can undo a strong application.</w:t>
            </w:r>
          </w:p>
          <w:p>
            <w:pPr>
              <w:spacing w:after="0"/>
            </w:pPr>
            <w:hyperlink r:id="rId13">
              <w:r>
                <w:rPr>
                  <w:color w:val="0E7C7B"/>
                  <w:u w:val="single"/>
                  <w:rFonts w:ascii="Arial" w:hAnsi="Arial"/>
                  <w:sz w:val="18"/>
                </w:rPr>
                <w:t xml:space="preserve">Dentistry guides for the student</w:t>
              </w:r>
            </w:hyperlink>
          </w:p>
        </w:tc>
      </w:tr>
    </w:tbl>
    <w:p>
      <w:pPr>
        <w:spacing w:after="160" w:before="0"/>
      </w:pPr>
    </w:p>
    <w:tbl>
      <w:tblPr>
        <w:tblW w:type="auto" w:w="0"/>
        <w:jc w:val="center"/>
        <w:tblLook w:firstColumn="1" w:firstRow="1" w:lastColumn="0" w:lastRow="0" w:noHBand="0" w:noVBand="1" w:val="04A0"/>
      </w:tblPr>
      <w:tblGrid>
        <w:gridCol w:w="9858"/>
      </w:tblGrid>
      <w:tr>
        <w:tc>
          <w:tcPr>
            <w:tcW w:type="dxa" w:w="9858"/>
            <w:shd w:val="clear" w:color="auto" w:fill="FAF8F4"/>
            <w:tcBorders>
              <w:top w:val="single" w:sz="6" w:color="D9E1EA"/>
              <w:left w:val="single" w:sz="6" w:color="D9E1EA"/>
              <w:bottom w:val="single" w:sz="6" w:color="D9E1EA"/>
              <w:right w:val="single" w:sz="6" w:color="D9E1EA"/>
            </w:tcBorders>
          </w:tcPr>
          <w:p>
            <w:pPr>
              <w:spacing w:after="60"/>
            </w:pPr>
            <w:r>
              <w:rPr>
                <w:rFonts w:ascii="Georgia" w:hAnsi="Georgia"/>
                <w:b/>
                <w:color w:val="0B1F3A"/>
                <w:sz w:val="24"/>
              </w:rPr>
              <w:t>If the application is for veterinary medicine</w:t>
            </w:r>
          </w:p>
          <w:p>
            <w:pPr>
              <w:spacing w:after="100" w:line="288" w:lineRule="auto"/>
            </w:pPr>
            <w:r>
              <w:rPr>
                <w:rFonts w:ascii="Arial" w:hAnsi="Arial"/>
                <w:color w:val="3F4050"/>
                <w:sz w:val="19"/>
              </w:rPr>
              <w:t>Veterinary selectors expect more work experience, across more settings, than medicine does, and they are unusually interested in whether the applicant has understood the hard commercial and ethical realities of practice.</w:t>
            </w:r>
          </w:p>
          <w:p>
            <w:pPr>
              <w:spacing w:after="40"/>
            </w:pPr>
            <w:r>
              <w:rPr>
                <w:rFonts w:ascii="Arial" w:hAnsi="Arial"/>
                <w:b/>
                <w:color w:val="0E7C7B"/>
                <w:sz w:val="16"/>
              </w:rPr>
              <w:t>EMPHASISE</w:t>
            </w:r>
          </w:p>
          <w:p>
            <w:pPr>
              <w:spacing w:after="40" w:line="276" w:lineRule="auto"/>
              <w:ind w:left="198"/>
            </w:pPr>
            <w:r>
              <w:rPr>
                <w:rFonts w:ascii="Arial" w:hAnsi="Arial"/>
                <w:color w:val="3F4050"/>
                <w:sz w:val="18"/>
              </w:rPr>
              <w:t>·  Breadth of animal experience by setting: small animal practice, farm or equine, and non clinical work such as kennels, stables or a rescue centre.</w:t>
            </w:r>
          </w:p>
          <w:p>
            <w:pPr>
              <w:spacing w:after="40" w:line="276" w:lineRule="auto"/>
              <w:ind w:left="198"/>
            </w:pPr>
            <w:r>
              <w:rPr>
                <w:rFonts w:ascii="Arial" w:hAnsi="Arial"/>
                <w:color w:val="3F4050"/>
                <w:sz w:val="18"/>
              </w:rPr>
              <w:t>·  Competence and safety around animals, which a referee who has seen it can assert and an applicant cannot.</w:t>
            </w:r>
          </w:p>
          <w:p>
            <w:pPr>
              <w:spacing w:after="40" w:line="276" w:lineRule="auto"/>
              <w:ind w:left="198"/>
            </w:pPr>
            <w:r>
              <w:rPr>
                <w:rFonts w:ascii="Arial" w:hAnsi="Arial"/>
                <w:color w:val="3F4050"/>
                <w:sz w:val="18"/>
              </w:rPr>
              <w:t>·  Physical stamina and willingness to do unpleasant work, evidenced by what they did rather than what they observed.</w:t>
            </w:r>
          </w:p>
          <w:p>
            <w:pPr>
              <w:spacing w:after="40" w:line="276" w:lineRule="auto"/>
              <w:ind w:left="198"/>
            </w:pPr>
            <w:r>
              <w:rPr>
                <w:rFonts w:ascii="Arial" w:hAnsi="Arial"/>
                <w:color w:val="3F4050"/>
                <w:sz w:val="18"/>
              </w:rPr>
              <w:t>·  Understanding of euthanasia, cost constrained decisions and difficult conversations with owners.</w:t>
            </w:r>
          </w:p>
          <w:p>
            <w:pPr>
              <w:spacing w:after="40" w:line="276" w:lineRule="auto"/>
              <w:ind w:left="198"/>
            </w:pPr>
            <w:r>
              <w:rPr>
                <w:rFonts w:ascii="Arial" w:hAnsi="Arial"/>
                <w:color w:val="3F4050"/>
                <w:sz w:val="18"/>
              </w:rPr>
              <w:t>·  Strength in practical science, especially laboratory technique and data handling.</w:t>
            </w:r>
          </w:p>
          <w:p>
            <w:pPr>
              <w:spacing w:before="80" w:after="60" w:line="276" w:lineRule="auto"/>
            </w:pPr>
            <w:r>
              <w:rPr>
                <w:rFonts w:ascii="Arial" w:hAnsi="Arial"/>
                <w:b/>
                <w:color w:val="C8922A"/>
                <w:sz w:val="18"/>
              </w:rPr>
              <w:t xml:space="preserve">Avoid.  </w:t>
            </w:r>
            <w:r>
              <w:rPr>
                <w:rFonts w:ascii="Arial" w:hAnsi="Arial"/>
                <w:color w:val="3F4050"/>
                <w:sz w:val="18"/>
              </w:rPr>
              <w:t>Do not lean on a love of animals. It is assumed, it is universal among applicants, and it displaces the evidence that would actually help.</w:t>
            </w:r>
          </w:p>
          <w:p>
            <w:pPr>
              <w:spacing w:after="0"/>
            </w:pPr>
            <w:hyperlink r:id="rId14">
              <w:r>
                <w:rPr>
                  <w:color w:val="0E7C7B"/>
                  <w:u w:val="single"/>
                  <w:rFonts w:ascii="Arial" w:hAnsi="Arial"/>
                  <w:sz w:val="18"/>
                </w:rPr>
                <w:t xml:space="preserve">Vet guides for the student</w:t>
              </w:r>
            </w:hyperlink>
          </w:p>
        </w:tc>
      </w:tr>
    </w:tbl>
    <w:p>
      <w:pPr>
        <w:spacing w:after="160" w:before="0"/>
      </w:pPr>
    </w:p>
    <w:p>
      <w:r>
        <w:br w:type="page"/>
      </w:r>
    </w:p>
    <w:p>
      <w:pPr>
        <w:spacing w:before="320" w:after="40" w:line="240" w:lineRule="auto"/>
      </w:pPr>
      <w:r>
        <w:rPr>
          <w:rFonts w:ascii="Arial" w:hAnsi="Arial"/>
          <w:b/>
          <w:i w:val="0"/>
          <w:color w:val="0E7C7B"/>
          <w:sz w:val="16"/>
        </w:rPr>
        <w:t>CUT THESE</w:t>
      </w:r>
    </w:p>
    <w:p>
      <w:pPr>
        <w:spacing w:before="0" w:after="120" w:line="264" w:lineRule="auto"/>
      </w:pPr>
      <w:r>
        <w:rPr>
          <w:rFonts w:ascii="Georgia" w:hAnsi="Georgia"/>
          <w:b/>
          <w:i w:val="0"/>
          <w:color w:val="0B1F3A"/>
          <w:sz w:val="32"/>
        </w:rPr>
        <w:t>What to leave out</w:t>
      </w:r>
    </w:p>
    <w:p>
      <w:pPr>
        <w:spacing w:before="0" w:after="120" w:line="300" w:lineRule="auto"/>
      </w:pPr>
      <w:r>
        <w:rPr>
          <w:rFonts w:ascii="Arial" w:hAnsi="Arial"/>
          <w:b w:val="0"/>
          <w:i w:val="0"/>
          <w:color w:val="3F4050"/>
          <w:sz w:val="19"/>
        </w:rPr>
        <w:t>Every character spent on one of these is a character not spent on something only you could say.</w:t>
      </w:r>
    </w:p>
    <w:tbl>
      <w:tblPr>
        <w:tblW w:type="auto" w:w="0"/>
        <w:jc w:val="center"/>
        <w:tblLook w:firstColumn="1" w:firstRow="1" w:lastColumn="0" w:lastRow="0" w:noHBand="0" w:noVBand="1" w:val="04A0"/>
      </w:tblPr>
      <w:tblGrid>
        <w:gridCol w:w="9858"/>
      </w:tblGrid>
      <w:tr>
        <w:tc>
          <w:tcPr>
            <w:tcW w:type="dxa" w:w="9858"/>
            <w:shd w:val="clear" w:color="auto" w:fill="FDF3E3"/>
            <w:tcBorders>
              <w:top w:val="single" w:sz="6" w:color="D9E1EA"/>
              <w:left w:val="single" w:sz="6" w:color="D9E1EA"/>
              <w:bottom w:val="single" w:sz="6" w:color="D9E1EA"/>
              <w:right w:val="single" w:sz="6" w:color="D9E1EA"/>
            </w:tcBorders>
          </w:tcPr>
          <w:p>
            <w:pPr>
              <w:spacing w:after="80"/>
            </w:pPr>
            <w:r>
              <w:rPr>
                <w:rFonts w:ascii="Georgia" w:hAnsi="Georgia"/>
                <w:b/>
                <w:color w:val="C8922A"/>
                <w:sz w:val="22"/>
              </w:rPr>
              <w:t>Leave out</w:t>
            </w:r>
          </w:p>
          <w:p>
            <w:pPr>
              <w:spacing w:after="60" w:line="288" w:lineRule="auto"/>
            </w:pPr>
            <w:r>
              <w:rPr>
                <w:rFonts w:ascii="Arial" w:hAnsi="Arial"/>
                <w:color w:val="3F4050"/>
                <w:sz w:val="19"/>
              </w:rPr>
              <w:t>Anything the student has already written. If a sentence could have come from their personal statement, it is wasting characters only you can spend.</w:t>
            </w:r>
          </w:p>
          <w:p>
            <w:pPr>
              <w:spacing w:after="60" w:line="288" w:lineRule="auto"/>
            </w:pPr>
            <w:r>
              <w:rPr>
                <w:rFonts w:ascii="Arial" w:hAnsi="Arial"/>
                <w:color w:val="3F4050"/>
                <w:sz w:val="19"/>
              </w:rPr>
              <w:t>Superlatives you cannot evidence. Exceptional, outstanding and the best in years are only useful when the next sentence proves them.</w:t>
            </w:r>
          </w:p>
          <w:p>
            <w:pPr>
              <w:spacing w:after="60" w:line="288" w:lineRule="auto"/>
            </w:pPr>
            <w:r>
              <w:rPr>
                <w:rFonts w:ascii="Arial" w:hAnsi="Arial"/>
                <w:color w:val="3F4050"/>
                <w:sz w:val="19"/>
              </w:rPr>
              <w:t>Health information, a diagnosis or a disability the student has not agreed to disclose. Section two is for impact on education, agreed in advance.</w:t>
            </w:r>
          </w:p>
          <w:p>
            <w:pPr>
              <w:spacing w:after="60" w:line="288" w:lineRule="auto"/>
            </w:pPr>
            <w:r>
              <w:rPr>
                <w:rFonts w:ascii="Arial" w:hAnsi="Arial"/>
                <w:color w:val="3F4050"/>
                <w:sz w:val="19"/>
              </w:rPr>
              <w:t>Family circumstances the student has not asked you to share, however sympathetic your intention.</w:t>
            </w:r>
          </w:p>
          <w:p>
            <w:pPr>
              <w:spacing w:after="60" w:line="288" w:lineRule="auto"/>
            </w:pPr>
            <w:r>
              <w:rPr>
                <w:rFonts w:ascii="Arial" w:hAnsi="Arial"/>
                <w:color w:val="3F4050"/>
                <w:sz w:val="19"/>
              </w:rPr>
              <w:t>The names of other universities the student has applied to, or any comment on their ordering of choices.</w:t>
            </w:r>
          </w:p>
          <w:p>
            <w:pPr>
              <w:spacing w:after="60" w:line="288" w:lineRule="auto"/>
            </w:pPr>
            <w:r>
              <w:rPr>
                <w:rFonts w:ascii="Arial" w:hAnsi="Arial"/>
                <w:color w:val="3F4050"/>
                <w:sz w:val="19"/>
              </w:rPr>
              <w:t>Predicted grades restated at length. They are already in the application; one sentence of confidence is enough.</w:t>
            </w:r>
          </w:p>
          <w:p>
            <w:pPr>
              <w:spacing w:after="60" w:line="288" w:lineRule="auto"/>
            </w:pPr>
            <w:r>
              <w:rPr>
                <w:rFonts w:ascii="Arial" w:hAnsi="Arial"/>
                <w:color w:val="3F4050"/>
                <w:sz w:val="19"/>
              </w:rPr>
              <w:t>Boilerplate reused from another student's reference. Selectors read several references from the same centre in one sitting and identical paragraphs are obvious.</w:t>
            </w:r>
          </w:p>
          <w:p>
            <w:pPr>
              <w:spacing w:after="60" w:line="288" w:lineRule="auto"/>
            </w:pPr>
            <w:r>
              <w:rPr>
                <w:rFonts w:ascii="Arial" w:hAnsi="Arial"/>
                <w:color w:val="3F4050"/>
                <w:sz w:val="19"/>
              </w:rPr>
              <w:t>Comparisons that disparage other applicants, including ones from your own centre.</w:t>
            </w:r>
          </w:p>
          <w:p>
            <w:pPr>
              <w:spacing w:after="60" w:line="288" w:lineRule="auto"/>
            </w:pPr>
            <w:r>
              <w:rPr>
                <w:rFonts w:ascii="Arial" w:hAnsi="Arial"/>
                <w:color w:val="3F4050"/>
                <w:sz w:val="19"/>
              </w:rPr>
              <w:t>Hedging you do not mean. Should cope with the demands of the course reads as a warning, whether or not you intended one.</w:t>
            </w:r>
          </w:p>
        </w:tc>
      </w:tr>
    </w:tbl>
    <w:p>
      <w:pPr>
        <w:spacing w:after="200" w:before="0"/>
      </w:pPr>
    </w:p>
    <w:p>
      <w:pPr>
        <w:spacing w:before="320" w:after="40" w:line="240" w:lineRule="auto"/>
      </w:pPr>
      <w:r>
        <w:rPr>
          <w:rFonts w:ascii="Arial" w:hAnsi="Arial"/>
          <w:b/>
          <w:i w:val="0"/>
          <w:color w:val="0E7C7B"/>
          <w:sz w:val="16"/>
        </w:rPr>
        <w:t>BEFORE YOU SUBMIT</w:t>
      </w:r>
    </w:p>
    <w:p>
      <w:pPr>
        <w:spacing w:before="0" w:after="120" w:line="264" w:lineRule="auto"/>
      </w:pPr>
      <w:r>
        <w:rPr>
          <w:rFonts w:ascii="Georgia" w:hAnsi="Georgia"/>
          <w:b/>
          <w:i w:val="0"/>
          <w:color w:val="0B1F3A"/>
          <w:sz w:val="32"/>
        </w:rPr>
        <w:t>Ten question check</w:t>
      </w:r>
    </w:p>
    <w:p>
      <w:pPr>
        <w:spacing w:before="0" w:after="120" w:line="300" w:lineRule="auto"/>
      </w:pPr>
      <w:r>
        <w:rPr>
          <w:rFonts w:ascii="Arial" w:hAnsi="Arial"/>
          <w:b w:val="0"/>
          <w:i w:val="0"/>
          <w:color w:val="3F4050"/>
          <w:sz w:val="19"/>
        </w:rPr>
        <w:t>Most weak references are fixable in a single editing pass. Run these ten questions over the finished document.</w:t>
      </w:r>
    </w:p>
    <w:tbl>
      <w:tblPr>
        <w:tblW w:type="auto" w:w="0"/>
        <w:jc w:val="center"/>
        <w:tblLook w:firstColumn="1" w:firstRow="1" w:lastColumn="0" w:lastRow="0" w:noHBand="0" w:noVBand="1" w:val="04A0"/>
      </w:tblPr>
      <w:tblGrid>
        <w:gridCol w:w="4929"/>
        <w:gridCol w:w="4929"/>
      </w:tblGrid>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Does the first sentence contain my actual, calibrated judgement?</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Does every adjective have an incident attached to it?</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Does the prose support the predicted grades, or does it quietly undercut them?</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Have I confirmed the work experience the student built their application around?</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Have I explained every visible anomaly: a resit, a dip, a gap, a change of centre?</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Is anything in section two agreed with the student, in writing where possible?</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Have I removed anything that repeats the personal statement?</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Is section one about the centre rather than the student, and saved for reuse?</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Is the whole thing inside the current UCAS character limit, checked in the adviser portal today?</w:t>
            </w:r>
          </w:p>
        </w:tc>
      </w:tr>
      <w:tr>
        <w:tc>
          <w:tcPr>
            <w:tcW w:type="dxa" w:w="567"/>
            <w:tcBorders>
              <w:top w:val="single" w:sz="6" w:color="D9E1EA"/>
              <w:left w:val="single" w:sz="6" w:color="D9E1EA"/>
              <w:bottom w:val="single" w:sz="6" w:color="D9E1EA"/>
              <w:right w:val="single" w:sz="6" w:color="D9E1EA"/>
            </w:tcBorders>
          </w:tcPr>
          <w:p>
            <w:pPr>
              <w:spacing w:after="0"/>
            </w:pPr>
            <w:r>
              <w:rPr>
                <w:sz w:val="20"/>
              </w:rPr>
              <w:t xml:space="preserve"> </w:t>
            </w:r>
          </w:p>
        </w:tc>
        <w:tc>
          <w:tcPr>
            <w:tcW w:type="dxa" w:w="4929"/>
            <w:tcBorders>
              <w:top w:val="single" w:sz="6" w:color="D9E1EA"/>
              <w:left w:val="single" w:sz="6" w:color="D9E1EA"/>
              <w:bottom w:val="single" w:sz="6" w:color="D9E1EA"/>
              <w:right w:val="single" w:sz="6" w:color="D9E1EA"/>
            </w:tcBorders>
          </w:tcPr>
          <w:p>
            <w:pPr>
              <w:spacing w:after="0" w:line="288" w:lineRule="auto"/>
            </w:pPr>
            <w:r>
              <w:rPr>
                <w:rFonts w:ascii="Arial" w:hAnsi="Arial"/>
                <w:color w:val="3F4050"/>
                <w:sz w:val="19"/>
              </w:rPr>
              <w:t>Has a second reader in the department seen it?</w:t>
            </w:r>
          </w:p>
        </w:tc>
      </w:tr>
    </w:tbl>
    <w:p>
      <w:pPr>
        <w:spacing w:after="160"/>
      </w:pPr>
    </w:p>
    <w:p>
      <w:pPr>
        <w:spacing w:before="120" w:after="120"/>
        <w:pBdr>
          <w:bottom w:val="single" w:sz="6" w:space="1" w:color="D9E1EA"/>
        </w:pBdr>
      </w:pPr>
    </w:p>
    <w:p>
      <w:pPr>
        <w:spacing w:before="80"/>
      </w:pPr>
      <w:r>
        <w:rPr>
          <w:rFonts w:ascii="Arial" w:hAnsi="Arial"/>
          <w:color w:val="3F4050"/>
          <w:sz w:val="18"/>
        </w:rPr>
        <w:t xml:space="preserve">The full craft guide this template is drawn from, including how contextual circumstances are handled and the commonest mistakes, is at </w:t>
      </w:r>
      <w:hyperlink r:id="rId15">
        <w:r>
          <w:rPr>
            <w:color w:val="0E7C7B"/>
            <w:u w:val="single"/>
            <w:rFonts w:ascii="Arial" w:hAnsi="Arial"/>
            <w:sz w:val="18"/>
          </w:rPr>
          <w:t xml:space="preserve">theukcatpeople.co.uk/teachers/ucas-reference</w:t>
        </w:r>
      </w:hyperlink>
      <w:r>
        <w:rPr>
          <w:rFonts w:ascii="Arial" w:hAnsi="Arial"/>
          <w:color w:val="3F4050"/>
          <w:sz w:val="18"/>
        </w:rPr>
        <w:t xml:space="preserve">. The rest of the teacher library is at </w:t>
      </w:r>
      <w:hyperlink r:id="rId16">
        <w:r>
          <w:rPr>
            <w:color w:val="0E7C7B"/>
            <w:u w:val="single"/>
            <w:rFonts w:ascii="Arial" w:hAnsi="Arial"/>
            <w:sz w:val="18"/>
          </w:rPr>
          <w:t xml:space="preserve">theukcatpeople.co.uk/teachers</w:t>
        </w:r>
      </w:hyperlink>
      <w:r>
        <w:rPr>
          <w:rFonts w:ascii="Arial" w:hAnsi="Arial"/>
          <w:color w:val="3F4050"/>
          <w:sz w:val="18"/>
        </w:rPr>
        <w:t>, including a cohort tracker, application checklists and a mock interview library.</w:t>
      </w:r>
    </w:p>
    <w:p>
      <w:pPr>
        <w:spacing w:before="80"/>
      </w:pPr>
      <w:r>
        <w:rPr>
          <w:rFonts w:ascii="Arial" w:hAnsi="Arial"/>
          <w:i/>
          <w:color w:val="808690"/>
          <w:sz w:val="17"/>
        </w:rPr>
        <w:t>Free to copy, adapt and share within your centre. No attribution required.</w:t>
      </w:r>
    </w:p>
    <w:sectPr w:rsidR="00FC693F" w:rsidRPr="0006063C" w:rsidSect="00034616">
      <w:headerReference w:type="default" r:id="rId9"/>
      <w:footerReference w:type="default" r:id="rId10"/>
      <w:pgSz w:w="12240" w:h="15840"/>
      <w:pgMar w:top="1077" w:right="1191" w:bottom="107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808690"/>
        <w:sz w:val="16"/>
      </w:rPr>
      <w:t xml:space="preserve">UCAS reference template  ·  page </w:t>
    </w:r>
    <w:r>
      <w:rPr>
        <w:rFonts w:ascii="Arial" w:hAnsi="Arial"/>
        <w:color w:val="808690"/>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Georgia" w:hAnsi="Georgia"/>
        <w:b/>
        <w:color w:val="0B1F3A"/>
        <w:sz w:val="18"/>
      </w:rPr>
      <w:t xml:space="preserve">TheUKCATPeople  ·  </w:t>
    </w:r>
    <w:hyperlink r:id="rId1">
      <w:r>
        <w:rPr>
          <w:color w:val="0E7C7B"/>
          <w:u w:val="single"/>
          <w:rFonts w:ascii="Arial" w:hAnsi="Arial"/>
          <w:sz w:val="18"/>
        </w:rPr>
        <w:t xml:space="preserve">theukcatpeople.co.uk/teachers/ucas-reference</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3F405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ucas.com/advisers/references" TargetMode="External"/><Relationship Id="rId12" Type="http://schemas.openxmlformats.org/officeDocument/2006/relationships/hyperlink" Target="https://www.theukcatpeople.co.uk/application-guide/medicine/ultimate-medicine-work-experience-guide" TargetMode="External"/><Relationship Id="rId13" Type="http://schemas.openxmlformats.org/officeDocument/2006/relationships/hyperlink" Target="https://www.theukcatpeople.co.uk/application-guide/dentistry/dentistry-work-experience-ultimate-guide" TargetMode="External"/><Relationship Id="rId14" Type="http://schemas.openxmlformats.org/officeDocument/2006/relationships/hyperlink" Target="https://www.theukcatpeople.co.uk/application-guide/veterinary-medicine/vet-school-work-experience-guide" TargetMode="External"/><Relationship Id="rId15" Type="http://schemas.openxmlformats.org/officeDocument/2006/relationships/hyperlink" Target="https://www.theukcatpeople.co.uk/teachers/ucas-reference" TargetMode="External"/><Relationship Id="rId16" Type="http://schemas.openxmlformats.org/officeDocument/2006/relationships/hyperlink" Target="https://www.theukcatpeople.co.uk/teachers"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theukcatpeople.co.uk/teachers/ucas-re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